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0A" w:rsidRDefault="00A30B0A" w:rsidP="00A30B0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A30B0A" w:rsidRDefault="00A30B0A" w:rsidP="00A30B0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ВСП «ФАХОВИЙ КОЛЕДЖ ПРОМИСЛОВОЇ АВТОМАТИКИ</w:t>
      </w:r>
    </w:p>
    <w:p w:rsidR="00A30B0A" w:rsidRDefault="00A30B0A" w:rsidP="00A30B0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ІНФОРМАЦІЙНИХ ТЕХНОЛОГІЙ</w:t>
      </w:r>
    </w:p>
    <w:p w:rsidR="00A30B0A" w:rsidRDefault="00A30B0A" w:rsidP="00A30B0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ОДЕСЬКОГО НАЦІОНАЛЬНОГО ТЕХНОЛОГІЧНОГО УНІВЕРСИТЕТУ»</w:t>
      </w:r>
    </w:p>
    <w:p w:rsidR="00A30B0A" w:rsidRDefault="00A30B0A" w:rsidP="00A30B0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0B0A" w:rsidRDefault="00A30B0A" w:rsidP="00A30B0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30B0A" w:rsidRDefault="00A30B0A" w:rsidP="00A30B0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30B0A" w:rsidRDefault="00A30B0A" w:rsidP="00A30B0A">
      <w:pPr>
        <w:spacing w:after="0"/>
        <w:rPr>
          <w:rFonts w:ascii="Times New Roman" w:hAnsi="Times New Roman"/>
          <w:sz w:val="28"/>
          <w:szCs w:val="28"/>
        </w:rPr>
      </w:pP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/>
      </w: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Методична розробка на тему </w:t>
      </w: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Рамка креслення. Написи на креслення. Основний напис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дисципліни</w:t>
      </w: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Інженерна і комп’ютерна графіка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0B0A" w:rsidRDefault="00A30B0A" w:rsidP="00A30B0A">
      <w:pPr>
        <w:tabs>
          <w:tab w:val="left" w:pos="921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галузь знань________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12  Інформаційні технології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A30B0A" w:rsidRDefault="00A30B0A" w:rsidP="00A30B0A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шифр і назва напряму</w:t>
      </w:r>
      <w:r>
        <w:rPr>
          <w:rFonts w:ascii="Times New Roman" w:hAnsi="Times New Roman"/>
          <w:sz w:val="28"/>
          <w:szCs w:val="28"/>
        </w:rPr>
        <w:t>)</w:t>
      </w:r>
    </w:p>
    <w:p w:rsidR="00A30B0A" w:rsidRDefault="00A30B0A" w:rsidP="00A30B0A">
      <w:pPr>
        <w:tabs>
          <w:tab w:val="left" w:pos="9214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30B0A" w:rsidRDefault="00A30B0A" w:rsidP="00A30B0A">
      <w:pPr>
        <w:tabs>
          <w:tab w:val="left" w:pos="9214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121 «Інженерія програмного забезпечення»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A30B0A" w:rsidRDefault="00A30B0A" w:rsidP="00A30B0A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шифр і назва спеціальності</w:t>
      </w:r>
      <w:r>
        <w:rPr>
          <w:rFonts w:ascii="Times New Roman" w:hAnsi="Times New Roman"/>
          <w:sz w:val="28"/>
          <w:szCs w:val="28"/>
        </w:rPr>
        <w:t>)</w:t>
      </w:r>
    </w:p>
    <w:p w:rsidR="00A30B0A" w:rsidRDefault="00A30B0A" w:rsidP="00A30B0A">
      <w:pPr>
        <w:tabs>
          <w:tab w:val="left" w:pos="609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0B0A" w:rsidRDefault="00A30B0A" w:rsidP="00A30B0A">
      <w:pPr>
        <w:ind w:left="4320" w:hanging="43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Інженерія програмного забезпечення</w:t>
      </w:r>
    </w:p>
    <w:p w:rsidR="00A30B0A" w:rsidRDefault="00A30B0A" w:rsidP="00A30B0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30B0A" w:rsidRDefault="00A30B0A" w:rsidP="00A30B0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778" w:type="dxa"/>
        <w:tblLook w:val="04A0" w:firstRow="1" w:lastRow="0" w:firstColumn="1" w:lastColumn="0" w:noHBand="0" w:noVBand="1"/>
      </w:tblPr>
      <w:tblGrid>
        <w:gridCol w:w="5778"/>
      </w:tblGrid>
      <w:tr w:rsidR="00A30B0A" w:rsidRPr="00A30B0A" w:rsidTr="00A30B0A">
        <w:tc>
          <w:tcPr>
            <w:tcW w:w="5778" w:type="dxa"/>
          </w:tcPr>
          <w:p w:rsidR="00A30B0A" w:rsidRDefault="00A30B0A">
            <w:pPr>
              <w:tabs>
                <w:tab w:val="left" w:pos="1284"/>
                <w:tab w:val="right" w:pos="978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30B0A" w:rsidRDefault="00A30B0A">
            <w:pPr>
              <w:tabs>
                <w:tab w:val="left" w:pos="1284"/>
                <w:tab w:val="right" w:pos="978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0B0A" w:rsidRDefault="00A30B0A">
            <w:pPr>
              <w:tabs>
                <w:tab w:val="left" w:pos="1284"/>
                <w:tab w:val="right" w:pos="978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0B0A" w:rsidRDefault="00A30B0A">
            <w:pPr>
              <w:tabs>
                <w:tab w:val="left" w:pos="1284"/>
                <w:tab w:val="right" w:pos="978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30B0A" w:rsidRDefault="00A30B0A" w:rsidP="00A30B0A">
      <w:pPr>
        <w:tabs>
          <w:tab w:val="left" w:pos="1284"/>
          <w:tab w:val="right" w:pos="9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30B0A" w:rsidRDefault="00A30B0A" w:rsidP="00A30B0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30B0A" w:rsidRDefault="00A30B0A" w:rsidP="00A30B0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30B0A" w:rsidRDefault="00A30B0A" w:rsidP="00A30B0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30B0A" w:rsidRDefault="00A30B0A" w:rsidP="00A30B0A">
      <w:pPr>
        <w:tabs>
          <w:tab w:val="left" w:pos="40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Одеса 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A30B0A" w:rsidRDefault="00A30B0A" w:rsidP="00A30B0A">
      <w:pPr>
        <w:tabs>
          <w:tab w:val="left" w:pos="40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0A" w:rsidRDefault="00A30B0A" w:rsidP="00A30B0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Укладачем м</w:t>
      </w:r>
      <w:proofErr w:type="spellStart"/>
      <w:r>
        <w:rPr>
          <w:rFonts w:ascii="Times New Roman" w:hAnsi="Times New Roman"/>
          <w:sz w:val="28"/>
          <w:szCs w:val="28"/>
        </w:rPr>
        <w:t>етодичн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вказів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викладач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ФКПАІТ ОН</w:t>
      </w:r>
      <w:r w:rsidR="004F5209">
        <w:rPr>
          <w:rFonts w:ascii="Times New Roman" w:hAnsi="Times New Roman"/>
          <w:sz w:val="28"/>
          <w:szCs w:val="28"/>
          <w:lang w:val="uk-UA"/>
        </w:rPr>
        <w:t>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Ю.О.Гаврилюк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30B0A" w:rsidRDefault="00A30B0A" w:rsidP="00A30B0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Методичні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вказівки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</w:rPr>
        <w:t>використані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практичних робіт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курсової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підготовці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іспиту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самостійної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30B0A" w:rsidRDefault="00A30B0A" w:rsidP="00A30B0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0B0A" w:rsidRDefault="00A30B0A" w:rsidP="00A30B0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Методичні вказівки затверджені на засіда</w:t>
      </w:r>
      <w:r w:rsidR="004F5209">
        <w:rPr>
          <w:rFonts w:ascii="Times New Roman" w:hAnsi="Times New Roman"/>
          <w:sz w:val="28"/>
          <w:szCs w:val="28"/>
          <w:lang w:val="uk-UA"/>
        </w:rPr>
        <w:t>нні циклової комісії ФКПАІТ ОН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="004F5209">
        <w:rPr>
          <w:rFonts w:ascii="Times New Roman" w:hAnsi="Times New Roman"/>
          <w:sz w:val="28"/>
          <w:szCs w:val="28"/>
          <w:lang w:val="uk-UA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“Комп’ютерних наук та інженерії програмного забезпечення”</w:t>
      </w:r>
    </w:p>
    <w:p w:rsidR="00A30B0A" w:rsidRDefault="00A30B0A" w:rsidP="00A30B0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0B0A" w:rsidRDefault="00A30B0A" w:rsidP="00A30B0A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 ___.____.2023 року,  №____</w:t>
      </w:r>
    </w:p>
    <w:p w:rsidR="00A30B0A" w:rsidRDefault="00A30B0A" w:rsidP="00A30B0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0B0A" w:rsidRDefault="00A30B0A" w:rsidP="00A30B0A">
      <w:pPr>
        <w:tabs>
          <w:tab w:val="left" w:pos="935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</w:t>
      </w:r>
      <w:r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Комп’ютерних наук </w:t>
      </w:r>
    </w:p>
    <w:p w:rsidR="00A30B0A" w:rsidRDefault="00A30B0A" w:rsidP="00A30B0A">
      <w:pPr>
        <w:tabs>
          <w:tab w:val="left" w:pos="935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та інженерії програмного забезпечення</w:t>
      </w:r>
      <w:r>
        <w:rPr>
          <w:rFonts w:ascii="Times New Roman" w:hAnsi="Times New Roman"/>
          <w:sz w:val="28"/>
          <w:szCs w:val="28"/>
          <w:u w:val="single"/>
        </w:rPr>
        <w:t>”</w:t>
      </w:r>
    </w:p>
    <w:p w:rsidR="00A30B0A" w:rsidRDefault="00A30B0A" w:rsidP="00A30B0A">
      <w:pPr>
        <w:spacing w:after="0" w:line="360" w:lineRule="auto"/>
        <w:contextualSpacing/>
        <w:jc w:val="right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Тетяна  КОСТИРЕНКО</w:t>
      </w:r>
    </w:p>
    <w:p w:rsidR="00A30B0A" w:rsidRDefault="00A30B0A" w:rsidP="00A30B0A">
      <w:pPr>
        <w:tabs>
          <w:tab w:val="left" w:pos="2820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(підпис)                           (власне ім’я та прізвище)</w:t>
      </w:r>
    </w:p>
    <w:p w:rsidR="00A30B0A" w:rsidRDefault="00A30B0A" w:rsidP="00A30B0A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___._______.2023 року</w:t>
      </w:r>
    </w:p>
    <w:p w:rsidR="00A30B0A" w:rsidRDefault="00A30B0A" w:rsidP="00A30B0A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0B0A" w:rsidRPr="00A30B0A" w:rsidRDefault="00A30B0A" w:rsidP="00A30B0A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lastRenderedPageBreak/>
        <w:t xml:space="preserve">Рамка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Написи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кресленнях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Основний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напис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його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 форма,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розміри</w:t>
      </w:r>
      <w:proofErr w:type="spellEnd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 xml:space="preserve"> та правила </w:t>
      </w:r>
      <w:proofErr w:type="spellStart"/>
      <w:r w:rsidRPr="00A30B0A">
        <w:rPr>
          <w:rFonts w:ascii="Times New Roman" w:hAnsi="Times New Roman"/>
          <w:b/>
          <w:bCs/>
          <w:color w:val="292B2C"/>
          <w:kern w:val="36"/>
          <w:sz w:val="28"/>
          <w:szCs w:val="28"/>
          <w:lang w:eastAsia="en-US"/>
        </w:rPr>
        <w:t>заповнення</w:t>
      </w:r>
      <w:proofErr w:type="spellEnd"/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Формати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креслень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.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 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Щоб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були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зручними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зберігання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користування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їх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виконують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аркушах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паперу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певного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аркуша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креслярського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паперу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називають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форматом. Формат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аркуша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визначається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розмірами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його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сторін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передбачено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5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кожний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з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яких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своє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сторін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Найбільшим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серед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них є формат А0 з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розмірами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сторін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841х1189 мм (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його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площа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1 м</w:t>
      </w:r>
      <w:r w:rsidRPr="00A30B0A">
        <w:rPr>
          <w:rFonts w:ascii="Times New Roman" w:hAnsi="Times New Roman"/>
          <w:color w:val="292B2C"/>
          <w:sz w:val="28"/>
          <w:szCs w:val="28"/>
          <w:vertAlign w:val="superscript"/>
          <w:lang w:eastAsia="en-US"/>
        </w:rPr>
        <w:t>2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).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Всі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інши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утворені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послідовним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поділом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його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дві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рівні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частини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паралельно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до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меншої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сторони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відповідного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формату.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На уроках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найчастіше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користуються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форматом А4 з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розмірами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сторін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210х297 мм.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Це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найменший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з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й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інші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конструкторські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документи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виконуються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форматах,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визначених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ДСТУ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ISO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3098-0:2006, ДСТУ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ISO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3098-2:2007, ДСТУ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ISO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3098-3:2007, ДСТУ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ISO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3098-6:2007.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та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їх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приведені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таблиці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1.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Таблиця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1.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Розміри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основних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форматів</w:t>
      </w:r>
      <w:proofErr w:type="spellEnd"/>
    </w:p>
    <w:tbl>
      <w:tblPr>
        <w:tblW w:w="7692" w:type="dxa"/>
        <w:tblInd w:w="1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447"/>
      </w:tblGrid>
      <w:tr w:rsidR="00A30B0A" w:rsidRPr="00A30B0A" w:rsidTr="00A30B0A"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proofErr w:type="spellStart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>Основні</w:t>
            </w:r>
            <w:proofErr w:type="spellEnd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>формати</w:t>
            </w:r>
            <w:proofErr w:type="spellEnd"/>
          </w:p>
        </w:tc>
      </w:tr>
      <w:tr w:rsidR="00A30B0A" w:rsidRPr="00A30B0A" w:rsidTr="00A30B0A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proofErr w:type="spellStart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>Позначення</w:t>
            </w:r>
            <w:proofErr w:type="spellEnd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>формату</w:t>
            </w:r>
            <w:proofErr w:type="spellEnd"/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proofErr w:type="spellStart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>Розміри</w:t>
            </w:r>
            <w:proofErr w:type="spellEnd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A30B0A">
              <w:rPr>
                <w:rFonts w:ascii="Times New Roman" w:hAnsi="Times New Roman"/>
                <w:b/>
                <w:bCs/>
                <w:color w:val="292B2C"/>
                <w:sz w:val="28"/>
                <w:szCs w:val="28"/>
                <w:lang w:val="en-US" w:eastAsia="en-US"/>
              </w:rPr>
              <w:t>мм</w:t>
            </w:r>
            <w:proofErr w:type="spellEnd"/>
          </w:p>
        </w:tc>
      </w:tr>
      <w:tr w:rsidR="00A30B0A" w:rsidRPr="00A30B0A" w:rsidTr="00A30B0A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А0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841х1189</w:t>
            </w:r>
          </w:p>
        </w:tc>
      </w:tr>
      <w:tr w:rsidR="00A30B0A" w:rsidRPr="00A30B0A" w:rsidTr="00A30B0A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А1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594х841</w:t>
            </w:r>
          </w:p>
        </w:tc>
      </w:tr>
      <w:tr w:rsidR="00A30B0A" w:rsidRPr="00A30B0A" w:rsidTr="00A30B0A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А2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420х594</w:t>
            </w:r>
          </w:p>
        </w:tc>
      </w:tr>
      <w:tr w:rsidR="00A30B0A" w:rsidRPr="00A30B0A" w:rsidTr="00A30B0A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А3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297х420</w:t>
            </w:r>
          </w:p>
        </w:tc>
      </w:tr>
      <w:tr w:rsidR="00A30B0A" w:rsidRPr="00A30B0A" w:rsidTr="00A30B0A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А4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A30B0A" w:rsidRPr="00A30B0A" w:rsidRDefault="00A30B0A" w:rsidP="00A30B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</w:pPr>
            <w:r w:rsidRPr="00A30B0A">
              <w:rPr>
                <w:rFonts w:ascii="Times New Roman" w:hAnsi="Times New Roman"/>
                <w:color w:val="292B2C"/>
                <w:sz w:val="28"/>
                <w:szCs w:val="28"/>
                <w:lang w:val="en-US" w:eastAsia="en-US"/>
              </w:rPr>
              <w:t>210х297</w:t>
            </w:r>
          </w:p>
        </w:tc>
      </w:tr>
    </w:tbl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lastRenderedPageBreak/>
        <w:t>Припускається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застосування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додаткових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які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утворюються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збільшенням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менших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сторін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форматїв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величину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кратнуїх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розмірам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Рамка і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основний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напис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Кожне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рамку, яка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обмежує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місце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побудови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зображень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та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нанесення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різних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умовних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Це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місце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всередині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рамки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називають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полем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Лінії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рамки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проводять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відстані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20 мм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лівої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межі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формату і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відстані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5 мм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верхньої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нижньої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правої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меж (схема 3).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Залишена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з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лівого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боку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відстань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призначена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підшивання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У правому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нижньому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куті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поля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розміщують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основний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До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нього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заносять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відомості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про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осіб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що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відношення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до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назву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зображеного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виробу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та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деякі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інші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дані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необхідні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кращого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розуміння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Форма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зміст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основного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визначені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державним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стандартом.</w:t>
      </w:r>
    </w:p>
    <w:p w:rsidR="00A30B0A" w:rsidRPr="00A30B0A" w:rsidRDefault="00A30B0A" w:rsidP="00A30B0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аркушах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формату А4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основний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розміщують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тільки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уздовж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короткої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сторони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інших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форматів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основний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розміщують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уздовж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довгої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або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уздовж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короткої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сторони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A30B0A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drawing>
          <wp:inline distT="0" distB="0" distL="0" distR="0">
            <wp:extent cx="3055620" cy="2240280"/>
            <wp:effectExtent l="0" t="0" r="0" b="7620"/>
            <wp:docPr id="8" name="Рисунок 8" descr="https://uahistory.co/pidruchniki/mechanical-drawing-handbook-glyshko-2016/mechanical-drawing-handbook-glyshko-2016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3" descr="https://uahistory.co/pidruchniki/mechanical-drawing-handbook-glyshko-2016/mechanical-drawing-handbook-glyshko-2016.files/image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F10273" w:rsidP="00A30B0A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292B2C"/>
          <w:sz w:val="28"/>
          <w:szCs w:val="28"/>
          <w:lang w:val="uk-UA" w:eastAsia="en-US"/>
        </w:rPr>
        <w:t xml:space="preserve"> </w:t>
      </w:r>
      <w:r w:rsidR="00A30B0A"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Рис. 12 - А3 (420х297)</w:t>
      </w:r>
    </w:p>
    <w:p w:rsidR="00A30B0A" w:rsidRPr="00A30B0A" w:rsidRDefault="00A30B0A" w:rsidP="00A30B0A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схем (форма 1)</w:t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lastRenderedPageBreak/>
        <w:drawing>
          <wp:inline distT="0" distB="0" distL="0" distR="0">
            <wp:extent cx="4648200" cy="1950720"/>
            <wp:effectExtent l="0" t="0" r="0" b="0"/>
            <wp:docPr id="7" name="Рисунок 7" descr="https://uahistory.co/pidruchniki/mechanical-drawing-handbook-glyshko-2016/mechanical-drawing-handbook-glyshko-2016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4" descr="https://uahistory.co/pidruchniki/mechanical-drawing-handbook-glyshko-2016/mechanical-drawing-handbook-glyshko-2016.files/image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Рис. 13</w:t>
      </w:r>
    </w:p>
    <w:p w:rsidR="00A30B0A" w:rsidRPr="00A30B0A" w:rsidRDefault="00A30B0A" w:rsidP="00A30B0A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текстових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конструкторських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документів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(перший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аркуш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- форма 2)</w:t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drawing>
          <wp:inline distT="0" distB="0" distL="0" distR="0">
            <wp:extent cx="4899660" cy="1577340"/>
            <wp:effectExtent l="0" t="0" r="0" b="3810"/>
            <wp:docPr id="6" name="Рисунок 6" descr="https://uahistory.co/pidruchniki/mechanical-drawing-handbook-glyshko-2016/mechanical-drawing-handbook-glyshko-2016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5" descr="https://uahistory.co/pidruchniki/mechanical-drawing-handbook-glyshko-2016/mechanical-drawing-handbook-glyshko-2016.files/image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Рис. 14</w:t>
      </w:r>
    </w:p>
    <w:p w:rsidR="00A30B0A" w:rsidRPr="00A30B0A" w:rsidRDefault="00A30B0A" w:rsidP="00A30B0A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Основний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текстових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конструкторських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документів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(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наступні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аркуші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- форма 2а)</w:t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drawing>
          <wp:inline distT="0" distB="0" distL="0" distR="0">
            <wp:extent cx="4236720" cy="906780"/>
            <wp:effectExtent l="0" t="0" r="0" b="7620"/>
            <wp:docPr id="5" name="Рисунок 5" descr="https://uahistory.co/pidruchniki/mechanical-drawing-handbook-glyshko-2016/mechanical-drawing-handbook-glyshko-2016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6" descr="https://uahistory.co/pidruchniki/mechanical-drawing-handbook-glyshko-2016/mechanical-drawing-handbook-glyshko-2016.files/image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Рис. 15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Основні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відомості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про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креслярські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шрифти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Всі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виконують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креслярським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шрифтом.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Це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робить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більш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чіткими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й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виразними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полегшує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їх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читання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Конструкцію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цифр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креслярського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визначено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державним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стандартом. В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машинобудівному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використовується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 типу Б, а в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будівельному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 типу А.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lastRenderedPageBreak/>
        <w:t xml:space="preserve">Стандарт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встановлює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начерки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двох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видів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українського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латинського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алфавітів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: великих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малих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арабських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римських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цифр та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деяких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знаків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умовних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позначень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Шрифт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рекомендується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писати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з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нахилом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(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близько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75°).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Спочатку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тонкими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лініями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намічають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контури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цифр.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Пересвідчившись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що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вони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написані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правильно,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їх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обводять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м'яким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олівцем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Запам'ятайте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що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цифри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стандартного шрифту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якому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разі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не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викреслюють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пишуть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руки.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Розміри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та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креслення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Висота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великих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міліметрах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виміряна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перпендикулярно до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основи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рядка,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визначає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шрифту.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Її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Написи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кресленнях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виконують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шрифтами таких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2,5; 3,5; 5; 7; 10; 14; 20; 28 і 40 мм.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Висота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малих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(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її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с)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відповідає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висоті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великих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попереднього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шрифту.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Наприклад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gram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для шрифту</w:t>
      </w:r>
      <w:proofErr w:type="gram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14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висота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малих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10 мм,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10-7 мм, для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розміру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7-5 мм і т. д.</w:t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drawing>
          <wp:inline distT="0" distB="0" distL="0" distR="0">
            <wp:extent cx="2781300" cy="2735580"/>
            <wp:effectExtent l="0" t="0" r="0" b="7620"/>
            <wp:docPr id="4" name="Рисунок 4" descr="https://uahistory.co/pidruchniki/mechanical-drawing-handbook-glyshko-2016/mechanical-drawing-handbook-glyshko-2016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7" descr="https://uahistory.co/pidruchniki/mechanical-drawing-handbook-glyshko-2016/mechanical-drawing-handbook-glyshko-2016.files/image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</w:t>
      </w: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ис. 16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Товщину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ліній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шрифту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визначають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залежно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висоти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шрифту. Вона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0,1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позначається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d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Ширина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більшості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великих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дорівнювати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0,6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Ширина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А, Д, Ж, М, Ф,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X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, Ш, Щ, Ю 0,8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, (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включаючи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lastRenderedPageBreak/>
        <w:t>нижні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верхні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елементи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), а ширина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Г, С, 3 — 0,5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Ширина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більшості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малих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0,5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Ширина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м, ц, ь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0,6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ж, т, ф, ш, щ, ю—0,7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, з та с—0,4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Частини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які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виступають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з рядка (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зверху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або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знизу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),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виконуються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за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рахунок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відстаней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рядками.Висота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всіх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цифр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висоті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великих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Ширина цифр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дорівнює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/2 (за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винятком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цифр 1(0,3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) і 4 (0,5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).</w:t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Відстань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літерами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і цифрами в словах 0,2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,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словами і числами — 0,6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.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Відстань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між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нижніми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лінійками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рядків</w:t>
      </w:r>
      <w:proofErr w:type="spellEnd"/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 xml:space="preserve"> — 1,7 </w:t>
      </w:r>
      <w:r w:rsidRPr="00A30B0A">
        <w:rPr>
          <w:rFonts w:ascii="Times New Roman" w:hAnsi="Times New Roman"/>
          <w:color w:val="292B2C"/>
          <w:sz w:val="28"/>
          <w:szCs w:val="28"/>
          <w:lang w:val="en-US" w:eastAsia="en-US"/>
        </w:rPr>
        <w:t>h</w:t>
      </w:r>
      <w:r w:rsidRPr="00A30B0A">
        <w:rPr>
          <w:rFonts w:ascii="Times New Roman" w:hAnsi="Times New Roman"/>
          <w:color w:val="292B2C"/>
          <w:sz w:val="28"/>
          <w:szCs w:val="28"/>
          <w:lang w:eastAsia="en-US"/>
        </w:rPr>
        <w:t>.</w:t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drawing>
          <wp:inline distT="0" distB="0" distL="0" distR="0">
            <wp:extent cx="3543300" cy="2537460"/>
            <wp:effectExtent l="0" t="0" r="0" b="0"/>
            <wp:docPr id="3" name="Рисунок 3" descr="https://uahistory.co/pidruchniki/mechanical-drawing-handbook-glyshko-2016/mechanical-drawing-handbook-glyshko-2016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8" descr="https://uahistory.co/pidruchniki/mechanical-drawing-handbook-glyshko-2016/mechanical-drawing-handbook-glyshko-2016.files/image0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Рис. 17 - Приклад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написання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англійського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алфавіту</w:t>
      </w:r>
      <w:proofErr w:type="spellEnd"/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drawing>
          <wp:inline distT="0" distB="0" distL="0" distR="0">
            <wp:extent cx="3238500" cy="2583180"/>
            <wp:effectExtent l="0" t="0" r="0" b="7620"/>
            <wp:docPr id="2" name="Рисунок 2" descr="https://uahistory.co/pidruchniki/mechanical-drawing-handbook-glyshko-2016/mechanical-drawing-handbook-glyshko-2016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9" descr="https://uahistory.co/pidruchniki/mechanical-drawing-handbook-glyshko-2016/mechanical-drawing-handbook-glyshko-2016.files/image0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Рис. 18 - Приклад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написання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літер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українського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алфавіту</w:t>
      </w:r>
      <w:proofErr w:type="spellEnd"/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val="en-US" w:eastAsia="en-US"/>
        </w:rPr>
      </w:pPr>
      <w:r w:rsidRPr="00A30B0A">
        <w:rPr>
          <w:rFonts w:ascii="Times New Roman" w:hAnsi="Times New Roman"/>
          <w:noProof/>
          <w:color w:val="292B2C"/>
          <w:sz w:val="28"/>
          <w:szCs w:val="28"/>
          <w:lang w:val="en-US" w:eastAsia="en-US"/>
        </w:rPr>
        <w:lastRenderedPageBreak/>
        <w:drawing>
          <wp:inline distT="0" distB="0" distL="0" distR="0">
            <wp:extent cx="4450080" cy="762000"/>
            <wp:effectExtent l="0" t="0" r="7620" b="0"/>
            <wp:docPr id="1" name="Рисунок 1" descr="https://uahistory.co/pidruchniki/mechanical-drawing-handbook-glyshko-2016/mechanical-drawing-handbook-glyshko-2016.files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0" descr="https://uahistory.co/pidruchniki/mechanical-drawing-handbook-glyshko-2016/mechanical-drawing-handbook-glyshko-2016.files/image0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A" w:rsidRPr="00A30B0A" w:rsidRDefault="00A30B0A" w:rsidP="00F1027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color w:val="292B2C"/>
          <w:sz w:val="28"/>
          <w:szCs w:val="28"/>
          <w:lang w:eastAsia="en-US"/>
        </w:rPr>
      </w:pPr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Рис. 19 - Приклад </w:t>
      </w:r>
      <w:proofErr w:type="spellStart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>написання</w:t>
      </w:r>
      <w:proofErr w:type="spellEnd"/>
      <w:r w:rsidRPr="00A30B0A">
        <w:rPr>
          <w:rFonts w:ascii="Times New Roman" w:hAnsi="Times New Roman"/>
          <w:b/>
          <w:bCs/>
          <w:color w:val="292B2C"/>
          <w:sz w:val="28"/>
          <w:szCs w:val="28"/>
          <w:lang w:eastAsia="en-US"/>
        </w:rPr>
        <w:t xml:space="preserve"> цифр</w:t>
      </w:r>
    </w:p>
    <w:p w:rsidR="00A30B0A" w:rsidRDefault="00A30B0A" w:rsidP="00A30B0A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</w:p>
    <w:p w:rsidR="00A30B0A" w:rsidRPr="00A30B0A" w:rsidRDefault="00A30B0A" w:rsidP="00A30B0A"/>
    <w:sectPr w:rsidR="00A30B0A" w:rsidRPr="00A30B0A" w:rsidSect="004F5209">
      <w:footerReference w:type="default" r:id="rId14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50" w:rsidRDefault="00490350" w:rsidP="004F5209">
      <w:pPr>
        <w:spacing w:after="0" w:line="240" w:lineRule="auto"/>
      </w:pPr>
      <w:r>
        <w:separator/>
      </w:r>
    </w:p>
  </w:endnote>
  <w:endnote w:type="continuationSeparator" w:id="0">
    <w:p w:rsidR="00490350" w:rsidRDefault="00490350" w:rsidP="004F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731932"/>
      <w:docPartObj>
        <w:docPartGallery w:val="Page Numbers (Bottom of Page)"/>
        <w:docPartUnique/>
      </w:docPartObj>
    </w:sdtPr>
    <w:sdtContent>
      <w:p w:rsidR="004F5209" w:rsidRDefault="004F52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F5209" w:rsidRDefault="004F52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50" w:rsidRDefault="00490350" w:rsidP="004F5209">
      <w:pPr>
        <w:spacing w:after="0" w:line="240" w:lineRule="auto"/>
      </w:pPr>
      <w:r>
        <w:separator/>
      </w:r>
    </w:p>
  </w:footnote>
  <w:footnote w:type="continuationSeparator" w:id="0">
    <w:p w:rsidR="00490350" w:rsidRDefault="00490350" w:rsidP="004F5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89"/>
    <w:rsid w:val="00353C89"/>
    <w:rsid w:val="003D5BBE"/>
    <w:rsid w:val="00490350"/>
    <w:rsid w:val="004F5209"/>
    <w:rsid w:val="00A30B0A"/>
    <w:rsid w:val="00F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EECA"/>
  <w15:chartTrackingRefBased/>
  <w15:docId w15:val="{D0BF9676-99BA-42F2-A112-5648E5BE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0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A30B0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B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0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A30B0A"/>
    <w:rPr>
      <w:b/>
      <w:bCs/>
    </w:rPr>
  </w:style>
  <w:style w:type="paragraph" w:styleId="a5">
    <w:name w:val="header"/>
    <w:basedOn w:val="a"/>
    <w:link w:val="a6"/>
    <w:uiPriority w:val="99"/>
    <w:unhideWhenUsed/>
    <w:rsid w:val="004F52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209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F52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209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2023-11-26T14:53:00Z</dcterms:created>
  <dcterms:modified xsi:type="dcterms:W3CDTF">2023-11-26T15:19:00Z</dcterms:modified>
</cp:coreProperties>
</file>